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mc:AlternateContent>
          <mc:Choice Requires="wps">
            <w:drawing>
              <wp:anchor distT="0" distB="8890" distL="0" distR="5715" simplePos="0" relativeHeight="3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68580</wp:posOffset>
                </wp:positionV>
                <wp:extent cx="1232535" cy="904875"/>
                <wp:effectExtent l="635" t="635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640" cy="90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ind w:start="-284"/>
                              <w:jc w:val="center"/>
                              <w:rPr/>
                            </w:pPr>
                            <w:r>
                              <w:rPr/>
                              <w:t xml:space="preserve">     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797560" cy="73152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7560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191.2pt;margin-top:5.4pt;width:97pt;height:71.2pt;mso-wrap-style:square;v-text-anchor:top">
                <v:fill o:detectmouseclick="t" type="solid" color2="black"/>
                <v:stroke color="#3465a4" joinstyle="miter" endcap="flat"/>
                <v:textbox>
                  <w:txbxContent>
                    <w:p>
                      <w:pPr>
                        <w:pStyle w:val="Style28"/>
                        <w:ind w:start="-284"/>
                        <w:jc w:val="center"/>
                        <w:rPr/>
                      </w:pPr>
                      <w:r>
                        <w:rPr/>
                        <w:t xml:space="preserve">     </w:t>
                      </w:r>
                      <w:r>
                        <w:rPr/>
                        <w:drawing>
                          <wp:inline distT="0" distB="0" distL="0" distR="0">
                            <wp:extent cx="797560" cy="731520"/>
                            <wp:effectExtent l="0" t="0" r="0" b="0"/>
                            <wp:docPr id="3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Рисунок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7560" cy="731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0" distB="6350" distL="0" distR="1270" simplePos="0" relativeHeight="5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17145</wp:posOffset>
                </wp:positionV>
                <wp:extent cx="6113780" cy="698500"/>
                <wp:effectExtent l="0" t="0" r="0" b="0"/>
                <wp:wrapNone/>
                <wp:docPr id="4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880" cy="69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ind w:start="-14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28"/>
                              <w:ind w:start="142" w:end="-11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ДЕПАРТАМЕНТ ОБРАЗОВАНИЯ И НАУКИ </w:t>
                            </w:r>
                          </w:p>
                          <w:p>
                            <w:pPr>
                              <w:pStyle w:val="Style28"/>
                              <w:ind w:start="14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ХАНТЫ-МАНСИЙСКОГО АВТОНОМНОГО ОКРУГА – ЮГРЫ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0.6pt;margin-top:1.35pt;width:481.35pt;height:54.9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8"/>
                        <w:ind w:start="-14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Style28"/>
                        <w:ind w:start="142" w:end="-11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ДЕПАРТАМЕНТ ОБРАЗОВАНИЯ И НАУКИ </w:t>
                      </w:r>
                    </w:p>
                    <w:p>
                      <w:pPr>
                        <w:pStyle w:val="Style28"/>
                        <w:ind w:start="14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ХАНТЫ-МАНСИЙСКОГО АВТОНОМНОГО ОКРУГА – ЮГРЫ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5715" distL="6350" distR="6350" simplePos="0" relativeHeight="7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90170</wp:posOffset>
                </wp:positionV>
                <wp:extent cx="5805170" cy="1030605"/>
                <wp:effectExtent l="0" t="635" r="0" b="0"/>
                <wp:wrapNone/>
                <wp:docPr id="5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5000" cy="10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8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ПРИКАЗ</w:t>
                            </w:r>
                          </w:p>
                          <w:p>
                            <w:pPr>
                              <w:pStyle w:val="Style2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Об организации и обеспечении деятельности Апелляционной комиссии </w:t>
                              <w:br/>
                              <w:t>Ханты-Мансийского автономного округа – Югры в 2026 году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12.35pt;margin-top:7.1pt;width:457.05pt;height:81.1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8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ПРИКАЗ</w:t>
                      </w:r>
                    </w:p>
                    <w:p>
                      <w:pPr>
                        <w:pStyle w:val="Style2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Default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Об организации и обеспечении деятельности Апелляционной комиссии </w:t>
                        <w:br/>
                        <w:t>Ханты-Мансийского автономного округа – Югры в 2026 году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themeColor="background1" w:themeShade="d9" w:val="D9D9D9"/>
          <w:sz w:val="24"/>
          <w:szCs w:val="24"/>
        </w:rPr>
      </w:pPr>
      <w:r>
        <w:rPr>
          <w:color w:themeColor="background1" w:themeShade="d9" w:val="D9D9D9"/>
          <w:sz w:val="24"/>
          <w:szCs w:val="24"/>
        </w:rPr>
      </w:r>
    </w:p>
    <w:p>
      <w:pPr>
        <w:pStyle w:val="Normal"/>
        <w:jc w:val="both"/>
        <w:rPr>
          <w:color w:themeColor="background1" w:themeShade="d9" w:val="D9D9D9"/>
          <w:sz w:val="24"/>
          <w:szCs w:val="24"/>
        </w:rPr>
      </w:pPr>
      <w:r>
        <w:rPr>
          <w:color w:themeColor="background1" w:themeShade="d9" w:val="D9D9D9"/>
          <w:sz w:val="24"/>
          <w:szCs w:val="24"/>
        </w:rPr>
      </w:r>
    </w:p>
    <w:p>
      <w:pPr>
        <w:pStyle w:val="Normal"/>
        <w:jc w:val="both"/>
        <w:rPr>
          <w:color w:val="auto"/>
        </w:rPr>
      </w:pPr>
      <w:r>
        <w:rPr>
          <w:color w:val="auto"/>
          <w:sz w:val="24"/>
          <w:szCs w:val="24"/>
          <w:lang w:val="en-US"/>
        </w:rPr>
        <w:t>20.</w:t>
      </w:r>
      <w:r>
        <w:rPr>
          <w:color w:val="auto"/>
          <w:sz w:val="24"/>
          <w:szCs w:val="24"/>
          <w:lang w:val="ru-RU"/>
        </w:rPr>
        <w:t>03.2026</w:t>
        <w:tab/>
        <w:tab/>
        <w:tab/>
        <w:tab/>
        <w:tab/>
        <w:tab/>
        <w:tab/>
        <w:tab/>
        <w:tab/>
        <w:tab/>
        <w:tab/>
      </w:r>
      <w:r>
        <w:rPr>
          <w:color w:val="auto"/>
          <w:sz w:val="24"/>
          <w:szCs w:val="24"/>
        </w:rPr>
        <w:t>№ 527</w:t>
      </w:r>
    </w:p>
    <w:p>
      <w:pPr>
        <w:pStyle w:val="Normal"/>
        <w:jc w:val="both"/>
        <w:rPr>
          <w:color w:themeColor="background1" w:themeShade="d9" w:val="D9D9D9"/>
          <w:sz w:val="24"/>
          <w:szCs w:val="24"/>
        </w:rPr>
      </w:pPr>
      <w:r>
        <w:rPr>
          <w:color w:themeColor="background1" w:themeShade="d9" w:val="D9D9D9"/>
          <w:sz w:val="24"/>
          <w:szCs w:val="24"/>
        </w:rPr>
      </w:r>
    </w:p>
    <w:p>
      <w:pPr>
        <w:pStyle w:val="Normal"/>
        <w:tabs>
          <w:tab w:val="clear" w:pos="709"/>
          <w:tab w:val="left" w:pos="9498" w:leader="none"/>
        </w:tabs>
        <w:spacing w:lineRule="auto" w:line="360"/>
        <w:ind w:end="350"/>
        <w:jc w:val="both"/>
        <w:rPr>
          <w:sz w:val="28"/>
          <w:szCs w:val="28"/>
        </w:rPr>
      </w:pPr>
      <w:r>
        <w:rPr>
          <w:sz w:val="24"/>
          <w:szCs w:val="24"/>
        </w:rPr>
        <w:t>Ханты-Мансийск</w:t>
      </w:r>
    </w:p>
    <w:p>
      <w:pPr>
        <w:pStyle w:val="Normal"/>
        <w:tabs>
          <w:tab w:val="clear" w:pos="709"/>
          <w:tab w:val="left" w:pos="9498" w:leader="none"/>
        </w:tabs>
        <w:spacing w:lineRule="auto" w:line="264"/>
        <w:ind w:end="35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/>
        <w:ind w:firstLine="740"/>
        <w:jc w:val="both"/>
        <w:rPr/>
      </w:pPr>
      <w:r>
        <w:rPr>
          <w:sz w:val="28"/>
          <w:szCs w:val="28"/>
        </w:rPr>
        <w:t xml:space="preserve"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04.04.2023 № 232/551, Порядком проведения государственной итоговой аттестации </w:t>
        <w:br/>
        <w:t xml:space="preserve">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04.04.2023 № 233/552 (далее вместе – порядок проведения ГИА), порядком аккредитации граждан в качестве общественных наблюдателей </w:t>
        <w:br/>
        <w:t xml:space="preserve">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утвержденным приказом Федеральной службы по надзору </w:t>
        <w:br/>
        <w:t xml:space="preserve">в сфере образования и науки от 26.08.2022 № 924, приказом Департамента образования и науки Ханты-Мансийского автономного округа – Югры (далее – Департамент, автономный округ) от 28.10.2025 № 10-П-2121 </w:t>
        <w:br/>
        <w:t xml:space="preserve">«О возложении некоторых функций на автономное учреждение дополнительного профессионального образования Ханты-Мансийского автономного округа – Югры «Институт развития образования» (далее </w:t>
        <w:br/>
        <w:t xml:space="preserve">– приказ Департамента № 10-П-2121), письмом Федеральной службы </w:t>
        <w:br/>
        <w:t xml:space="preserve">по надзору в сфере образования и науки Российской Федерации от 23.12.2025 </w:t>
        <w:br/>
        <w:t xml:space="preserve">№ 04-451 о согласовании кандидатур председателей </w:t>
      </w:r>
      <w:r>
        <w:rPr>
          <w:sz w:val="28"/>
          <w:szCs w:val="28"/>
          <w:lang w:val="ru-RU"/>
        </w:rPr>
        <w:t>апелляционных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комиссий субъектов Российской Федерации, </w:t>
      </w:r>
      <w:r>
        <w:rPr>
          <w:sz w:val="28"/>
          <w:szCs w:val="28"/>
        </w:rPr>
        <w:t xml:space="preserve">согласно методическим рекомендациями по работе апелляционной комиссии субъекта Российской Федерации при проведении государственной итоговой аттестации </w:t>
        <w:br/>
        <w:t>по образовательным программам среднего общего образования в 2026 году,</w:t>
      </w:r>
      <w:r>
        <w:rPr>
          <w:sz w:val="28"/>
          <w:szCs w:val="28"/>
        </w:rPr>
        <w:t xml:space="preserve"> направленных письмом Федеральной службы по надзору в сфере образования и науки от 02</w:t>
      </w:r>
      <w:r>
        <w:rPr>
          <w:sz w:val="28"/>
          <w:szCs w:val="28"/>
        </w:rPr>
        <w:t>.02.2026 № 04-20</w:t>
      </w:r>
      <w:r>
        <w:rPr>
          <w:sz w:val="28"/>
          <w:szCs w:val="28"/>
        </w:rPr>
        <w:t xml:space="preserve">, учитывая письмо автономного учреждения дополнительного профессионального образования </w:t>
        <w:br/>
        <w:t xml:space="preserve">Ханты-Мансийского автономного округа – Югры «Институт развития образования» от 19.02.2026 № 10/42-Исх-329, в целях обеспечения соблюдения единых требований и разрешения спорных вопросов при оценке экзаменационных работ участников государственной итоговой аттестации </w:t>
        <w:br/>
        <w:t xml:space="preserve">по образовательным программам основного общего и среднего общего образования, единого государственного экзамена (далее – ГИА-9, ГИА-11 (далее вместе – ГИА), ЕГЭ), а также защиты их прав, в том числе </w:t>
        <w:br/>
        <w:t>на объективное оценивание</w:t>
      </w:r>
    </w:p>
    <w:p>
      <w:pPr>
        <w:pStyle w:val="Normal"/>
        <w:spacing w:lineRule="auto" w:line="264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64"/>
        <w:ind w:firstLine="74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>ПРИКАЗЫВАЮ:</w:t>
      </w:r>
    </w:p>
    <w:p>
      <w:pPr>
        <w:pStyle w:val="Normal"/>
        <w:spacing w:lineRule="auto" w:line="264"/>
        <w:ind w:firstLine="74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64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Создать Апелляционную комиссию автономного округа (далее </w:t>
        <w:br/>
        <w:t xml:space="preserve">– Апелляционная комиссия) по рассмотрению апелляций участников </w:t>
        <w:br/>
        <w:t>ГИА, ЕГЭ о несогласии с выставленными баллами, о нарушении порядка проведения ГИА в 2026 году.</w:t>
      </w:r>
    </w:p>
    <w:p>
      <w:pPr>
        <w:pStyle w:val="ListParagraph"/>
        <w:numPr>
          <w:ilvl w:val="0"/>
          <w:numId w:val="1"/>
        </w:numPr>
        <w:spacing w:lineRule="auto" w:line="264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>
      <w:pPr>
        <w:pStyle w:val="ListParagraph"/>
        <w:numPr>
          <w:ilvl w:val="1"/>
          <w:numId w:val="1"/>
        </w:numPr>
        <w:spacing w:lineRule="auto" w:line="264"/>
        <w:ind w:firstLine="850" w:start="0" w:end="0"/>
        <w:jc w:val="both"/>
        <w:rPr>
          <w:rStyle w:val="1"/>
        </w:rPr>
      </w:pPr>
      <w:r>
        <w:rPr>
          <w:rStyle w:val="1"/>
          <w:lang w:val="ru-RU"/>
        </w:rPr>
        <w:t xml:space="preserve"> </w:t>
      </w:r>
      <w:r>
        <w:rPr>
          <w:rStyle w:val="1"/>
          <w:lang w:val="ru-RU"/>
        </w:rPr>
        <w:t xml:space="preserve">Персональный состав Апелляционной комиссии </w:t>
        <w:br/>
        <w:t xml:space="preserve">по рассмотрению апелляций участников ГИА-9 </w:t>
      </w:r>
      <w:r>
        <w:rPr>
          <w:rFonts w:ascii="Times New Roman" w:hAnsi="Times New Roman"/>
          <w:sz w:val="28"/>
          <w:szCs w:val="28"/>
          <w:lang w:val="ru-RU"/>
        </w:rPr>
        <w:t xml:space="preserve">о несогласии </w:t>
        <w:br/>
        <w:t>с выставленными баллами, о нарушении порядка проведения ГИА-9</w:t>
      </w:r>
      <w:r>
        <w:rPr>
          <w:rStyle w:val="1"/>
          <w:lang w:val="ru-RU"/>
        </w:rPr>
        <w:t xml:space="preserve"> </w:t>
        <w:br/>
        <w:t>в 2026 году</w:t>
      </w:r>
      <w:r>
        <w:rPr>
          <w:rStyle w:val="1"/>
          <w:lang w:val="en-US"/>
        </w:rPr>
        <w:t xml:space="preserve"> (</w:t>
      </w:r>
      <w:r>
        <w:rPr>
          <w:rStyle w:val="1"/>
          <w:lang w:val="ru-RU"/>
        </w:rPr>
        <w:t>приложение 1).</w:t>
      </w:r>
    </w:p>
    <w:p>
      <w:pPr>
        <w:pStyle w:val="ListParagraph"/>
        <w:numPr>
          <w:ilvl w:val="1"/>
          <w:numId w:val="1"/>
        </w:numPr>
        <w:spacing w:lineRule="auto" w:line="264"/>
        <w:ind w:firstLine="850" w:start="0" w:end="0"/>
        <w:jc w:val="both"/>
        <w:rPr>
          <w:rStyle w:val="1"/>
        </w:rPr>
      </w:pPr>
      <w:r>
        <w:rPr>
          <w:rStyle w:val="1"/>
          <w:lang w:val="ru-RU"/>
        </w:rPr>
        <w:t xml:space="preserve">Персональный состав Апелляционной комиссии </w:t>
        <w:br/>
        <w:t xml:space="preserve">по рассмотрению апелляций участников ГИА-11, ЕГЭ </w:t>
      </w:r>
      <w:r>
        <w:rPr>
          <w:rFonts w:ascii="Times New Roman" w:hAnsi="Times New Roman"/>
          <w:sz w:val="28"/>
          <w:szCs w:val="28"/>
          <w:lang w:val="ru-RU"/>
        </w:rPr>
        <w:t xml:space="preserve">о несогласии </w:t>
        <w:br/>
        <w:t>с выставленными баллами, о нарушении порядка проведения ГИА-11</w:t>
      </w:r>
      <w:r>
        <w:rPr>
          <w:rStyle w:val="1"/>
          <w:lang w:val="ru-RU"/>
        </w:rPr>
        <w:br/>
        <w:t>в 2026 году</w:t>
      </w:r>
      <w:r>
        <w:rPr>
          <w:rStyle w:val="1"/>
          <w:lang w:val="en-US"/>
        </w:rPr>
        <w:t xml:space="preserve"> (</w:t>
      </w:r>
      <w:r>
        <w:rPr>
          <w:rStyle w:val="1"/>
          <w:lang w:val="ru-RU"/>
        </w:rPr>
        <w:t>приложение 2).</w:t>
      </w:r>
    </w:p>
    <w:p>
      <w:pPr>
        <w:pStyle w:val="ListParagraph"/>
        <w:numPr>
          <w:ilvl w:val="1"/>
          <w:numId w:val="1"/>
        </w:numPr>
        <w:spacing w:lineRule="auto" w:line="264"/>
        <w:ind w:firstLine="850" w:start="0" w:end="0"/>
        <w:jc w:val="both"/>
        <w:rPr>
          <w:rStyle w:val="1"/>
        </w:rPr>
      </w:pPr>
      <w:r>
        <w:rPr>
          <w:rStyle w:val="1"/>
          <w:lang w:val="ru-RU"/>
        </w:rPr>
        <w:t xml:space="preserve"> </w:t>
      </w:r>
      <w:r>
        <w:rPr>
          <w:rStyle w:val="1"/>
          <w:lang w:val="ru-RU"/>
        </w:rPr>
        <w:t xml:space="preserve">Положение об Апелляционной комиссии по рассмотрению апелляций участников ГИА, ЕГЭ </w:t>
      </w:r>
      <w:r>
        <w:rPr>
          <w:rFonts w:ascii="Times New Roman" w:hAnsi="Times New Roman"/>
          <w:sz w:val="28"/>
          <w:szCs w:val="28"/>
          <w:lang w:val="ru-RU"/>
        </w:rPr>
        <w:t xml:space="preserve">о несогласии с выставленными баллами, </w:t>
        <w:br/>
        <w:t>о нарушении порядка проведения ГИА</w:t>
      </w:r>
      <w:r>
        <w:rPr>
          <w:rStyle w:val="1"/>
          <w:lang w:val="ru-RU"/>
        </w:rPr>
        <w:t xml:space="preserve"> в 2026 году (далее – Положение) (приложение 3).</w:t>
      </w:r>
    </w:p>
    <w:p>
      <w:pPr>
        <w:pStyle w:val="ListParagraph"/>
        <w:numPr>
          <w:ilvl w:val="1"/>
          <w:numId w:val="1"/>
        </w:numPr>
        <w:spacing w:lineRule="auto" w:line="264"/>
        <w:ind w:firstLine="850" w:start="0" w:end="0"/>
        <w:jc w:val="both"/>
        <w:rPr>
          <w:rStyle w:val="1"/>
        </w:rPr>
      </w:pPr>
      <w:r>
        <w:rPr>
          <w:rStyle w:val="1"/>
        </w:rPr>
        <w:t>Перечень пунктов рассмотрения апелляций, с местами их расположения и персональным составом администраторов при проведении ГИА, ЕГЭ на территории автономного округа в 2026 году (приложение 4).</w:t>
      </w:r>
    </w:p>
    <w:p>
      <w:pPr>
        <w:pStyle w:val="ListParagraph"/>
        <w:numPr>
          <w:ilvl w:val="0"/>
          <w:numId w:val="1"/>
        </w:numPr>
        <w:spacing w:lineRule="auto" w:line="264" w:before="0" w:afterAutospacing="0" w:after="0"/>
        <w:ind w:firstLine="850" w:start="0" w:end="0"/>
        <w:contextualSpacing/>
        <w:jc w:val="both"/>
        <w:rPr>
          <w:highlight w:val="none"/>
          <w:lang w:val="ru-RU"/>
        </w:rPr>
      </w:pPr>
      <w:r>
        <w:rPr>
          <w:rStyle w:val="1"/>
          <w:lang w:val="ru-RU"/>
        </w:rPr>
        <w:t xml:space="preserve">Автономному учреждению дополнительного профессионального образования автономного округа «Институт развития образования» </w:t>
        <w:br/>
        <w:t>– организации, уполномоченной осуществлять функции Регионального центра обработки информации (далее – РЦОИ) (Клюсова В.В.), обеспечить:</w:t>
      </w:r>
    </w:p>
    <w:p>
      <w:pPr>
        <w:pStyle w:val="Normal"/>
        <w:spacing w:lineRule="auto" w:line="264" w:before="0" w:afterAutospacing="0" w:after="0"/>
        <w:ind w:firstLine="850" w:start="0" w:end="0"/>
        <w:jc w:val="both"/>
        <w:rPr>
          <w:highlight w:val="none"/>
          <w:lang w:val="ru-RU"/>
        </w:rPr>
      </w:pPr>
      <w:r>
        <w:rPr>
          <w:rStyle w:val="1"/>
          <w:lang w:val="ru-RU"/>
        </w:rPr>
        <w:t xml:space="preserve">3.1. Осуществление деятельности Апелляционной комиссии </w:t>
        <w:br/>
        <w:t>в период проведения ГИА, ЕГЭ, в том числе в соответствии приказом Департамента № 10-П-2121, нормативными правовыми актами, регламентирующими проведение ГИА, ЕГЭ, инструктивно-методическими документами Министерства просвещения Российской Федерации, Федеральной службы по надзору в сфере образования и науки, Департамента образования и науки автономного округа, иными правовыми актами, Положением, утвержденным пунктом 2 настоящего приказа.</w:t>
      </w:r>
    </w:p>
    <w:p>
      <w:pPr>
        <w:pStyle w:val="Normal"/>
        <w:spacing w:lineRule="auto" w:line="264" w:before="0" w:afterAutospacing="0" w:after="0"/>
        <w:ind w:firstLine="850" w:start="0" w:end="0"/>
        <w:jc w:val="both"/>
        <w:rPr>
          <w:highlight w:val="none"/>
          <w:lang w:val="ru-RU"/>
        </w:rPr>
      </w:pPr>
      <w:r>
        <w:rPr>
          <w:rStyle w:val="1"/>
          <w:lang w:val="ru-RU"/>
        </w:rPr>
        <w:t xml:space="preserve">3.2. </w:t>
      </w:r>
      <w:r>
        <w:rPr>
          <w:sz w:val="28"/>
          <w:szCs w:val="28"/>
        </w:rPr>
        <w:t xml:space="preserve">Информационно-методическое, организационно-техническое </w:t>
        <w:br/>
        <w:t xml:space="preserve">и технологическое сопровождение деятельности Апелляционной комиссии при рассмотрении апелляций участников ГИА, ЕГЭ </w:t>
      </w:r>
      <w:r>
        <w:rPr>
          <w:sz w:val="28"/>
          <w:szCs w:val="28"/>
          <w:lang w:val="ru-RU"/>
        </w:rPr>
        <w:t xml:space="preserve">о несогласии </w:t>
        <w:br/>
        <w:t>с выставленными баллами, о нарушении порядка проведения ГИА</w:t>
      </w:r>
      <w:r>
        <w:rPr>
          <w:rStyle w:val="1"/>
          <w:lang w:val="ru-RU"/>
        </w:rPr>
        <w:t xml:space="preserve"> </w:t>
        <w:br/>
        <w:t>в 2026 году</w:t>
      </w:r>
      <w:r>
        <w:rPr>
          <w:sz w:val="28"/>
          <w:szCs w:val="28"/>
        </w:rPr>
        <w:t>, с использованием информационно-коммуникационных технологий в пунктах рассмотрения апелляций, организуемых структурными подразделениями органов местного самоуправления муниципальных образований автономного округа, осуществляющими управление в сфере образования (далее – МОУО), государственными образовательными организациями автономного округа, в том числе, с участием заявителей</w:t>
      </w:r>
      <w:r>
        <w:rPr>
          <w:rStyle w:val="FootnoteReference"/>
          <w:sz w:val="28"/>
          <w:szCs w:val="28"/>
        </w:rPr>
        <w:footnoteReference w:id="2"/>
      </w:r>
      <w:r>
        <w:rPr>
          <w:sz w:val="28"/>
          <w:szCs w:val="28"/>
        </w:rPr>
        <w:t xml:space="preserve">.  </w:t>
      </w:r>
    </w:p>
    <w:p>
      <w:pPr>
        <w:pStyle w:val="Normal"/>
        <w:widowControl w:val="false"/>
        <w:spacing w:lineRule="auto" w:line="264"/>
        <w:ind w:firstLine="850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3.3. Направление информационно-аналитического отчета о работе Апелляционной комиссии в отдел адаптированных образовательных программ и итоговой аттестации Управления общего образования Департамента до 30.10.2026, с предоставлением информации не позднее 10 рабочих дней после завершения каждого периода ГИА (досрочный, основной, дополнительный)</w:t>
      </w:r>
      <w:r>
        <w:rPr>
          <w:rStyle w:val="FootnoteReference"/>
          <w:sz w:val="28"/>
          <w:szCs w:val="28"/>
        </w:rPr>
        <w:footnoteReference w:id="3"/>
      </w:r>
      <w:r>
        <w:rPr>
          <w:sz w:val="28"/>
          <w:szCs w:val="28"/>
        </w:rPr>
        <w:t xml:space="preserve">. </w:t>
      </w:r>
    </w:p>
    <w:p>
      <w:pPr>
        <w:pStyle w:val="Normal"/>
        <w:widowControl w:val="false"/>
        <w:suppressLineNumbers w:val="0"/>
        <w:spacing w:lineRule="auto" w:line="264" w:before="0" w:after="0"/>
        <w:ind w:firstLine="760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4. Рекомендовать руководителям МОУО</w:t>
      </w:r>
      <w:r>
        <w:rPr>
          <w:sz w:val="28"/>
          <w:szCs w:val="28"/>
          <w:lang w:bidi="ru-RU"/>
        </w:rPr>
        <w:t>:</w:t>
      </w:r>
    </w:p>
    <w:p>
      <w:pPr>
        <w:pStyle w:val="Normal"/>
        <w:widowControl w:val="false"/>
        <w:spacing w:lineRule="auto" w:line="264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>4.1. При организации работы в случаях подачи апелляций участниками ГИА, ЕГЭ руководствоваться Положением, утвержденным подпунктом 2.2 пункта 2 настоящего приказа, в части касающейся.</w:t>
      </w:r>
    </w:p>
    <w:p>
      <w:pPr>
        <w:pStyle w:val="Normal"/>
        <w:widowControl w:val="false"/>
        <w:spacing w:lineRule="auto" w:line="264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Довести Положение, утвержденное подпунктом 2.2 пункта 2 настоящего приказа, места расположения пунктов рассмотрения апелляций, перечень которых утвержден подпунктом 2.3 пункта 2 настоящего приказа </w:t>
        <w:br/>
        <w:t>до сведения участников ГИА, ЕГЭ, родительской, педагогической общественности.</w:t>
      </w:r>
    </w:p>
    <w:p>
      <w:pPr>
        <w:pStyle w:val="Normal"/>
        <w:widowControl w:val="false"/>
        <w:spacing w:lineRule="auto" w:line="264"/>
        <w:ind w:firstLine="7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Обеспечить оборудование пунктов рассмотрения апелляций компьютерной и копировальной техникой, средствами видеонаблюдения для осуществления видеозаписи проведения заседаний Апелляционной комиссии, с присутствием участников ГИА, ЕГЭ в пунктах рассмотрения апелляций, обеспечить работоспособность технических средств, осуществлять иные мероприятия, необходимые для обеспечения функционирования пунктов рассмотрения апелляций, перечень которых утвержден подпунктом 2.3 пункта 2 настоящего приказа. </w:t>
      </w:r>
    </w:p>
    <w:p>
      <w:pPr>
        <w:pStyle w:val="Normal"/>
        <w:widowControl w:val="false"/>
        <w:suppressLineNumbers w:val="0"/>
        <w:spacing w:lineRule="auto" w:line="264" w:before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Руководителям образовательных организаций автономного округа, подведомственных Департаменту </w:t>
      </w:r>
      <w:r>
        <w:rPr>
          <w:color w:val="000000"/>
          <w:sz w:val="28"/>
          <w:szCs w:val="28"/>
          <w:lang w:bidi="ru-RU"/>
        </w:rPr>
        <w:t>(</w:t>
      </w:r>
      <w:r>
        <w:rPr>
          <w:rFonts w:cs="Times New Roman"/>
          <w:sz w:val="28"/>
          <w:szCs w:val="28"/>
        </w:rPr>
        <w:t xml:space="preserve">Хидирлясов Г.К., Старостина И.И., Елфимова О.В., </w:t>
      </w:r>
      <w:r>
        <w:rPr>
          <w:rFonts w:cs="Times New Roman"/>
          <w:sz w:val="28"/>
          <w:szCs w:val="28"/>
          <w:lang w:val="ru-RU"/>
        </w:rPr>
        <w:t>Свайкина Н.В</w:t>
      </w:r>
      <w:r>
        <w:rPr>
          <w:rFonts w:cs="Times New Roman"/>
          <w:sz w:val="28"/>
          <w:szCs w:val="28"/>
        </w:rPr>
        <w:t xml:space="preserve">., </w:t>
      </w:r>
      <w:r>
        <w:rPr>
          <w:rFonts w:cs="Times New Roman"/>
          <w:sz w:val="28"/>
          <w:szCs w:val="28"/>
          <w:lang w:val="ru-RU"/>
        </w:rPr>
        <w:t>Петрова О.В</w:t>
      </w:r>
      <w:r>
        <w:rPr>
          <w:rFonts w:cs="Times New Roman"/>
          <w:sz w:val="28"/>
          <w:szCs w:val="28"/>
        </w:rPr>
        <w:t>., Мамбетов Б.Т., Жуков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>А.В.</w:t>
      </w:r>
      <w:r>
        <w:rPr>
          <w:rFonts w:cs="Times New Roman"/>
          <w:sz w:val="28"/>
          <w:szCs w:val="28"/>
          <w:lang w:val="ru-RU"/>
        </w:rPr>
        <w:t xml:space="preserve">, </w:t>
      </w:r>
      <w:r>
        <w:rPr>
          <w:rFonts w:cs="Times New Roman"/>
          <w:sz w:val="28"/>
          <w:szCs w:val="28"/>
          <w:lang w:val="ru-RU"/>
        </w:rPr>
        <w:t xml:space="preserve">Платонова С.Ю., </w:t>
      </w:r>
      <w:r>
        <w:rPr>
          <w:rFonts w:cs="Times New Roman"/>
          <w:sz w:val="28"/>
          <w:szCs w:val="28"/>
        </w:rPr>
        <w:t>Максимова Л.В.</w:t>
      </w:r>
      <w:r>
        <w:rPr>
          <w:color w:val="000000"/>
          <w:sz w:val="28"/>
          <w:szCs w:val="28"/>
          <w:lang w:bidi="ru-RU"/>
        </w:rPr>
        <w:t>)</w:t>
      </w:r>
      <w:r>
        <w:rPr>
          <w:sz w:val="28"/>
          <w:szCs w:val="28"/>
        </w:rPr>
        <w:t>, обеспечить исполнение пункта 4, в части касающейся.</w:t>
      </w:r>
    </w:p>
    <w:p>
      <w:pPr>
        <w:pStyle w:val="Normal"/>
        <w:widowControl w:val="false"/>
        <w:suppressLineNumbers w:val="0"/>
        <w:spacing w:lineRule="auto" w:line="264" w:before="0" w:after="0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Рекомендовать руководителям образовательных организаций автономного округа, подведомственных Департаменту культуры автономного округа </w:t>
      </w:r>
      <w:r>
        <w:rPr>
          <w:rFonts w:cs="Times New Roman"/>
          <w:sz w:val="28"/>
          <w:szCs w:val="28"/>
          <w:lang w:val="ru-RU"/>
        </w:rPr>
        <w:t>(</w:t>
      </w:r>
      <w:r>
        <w:rPr>
          <w:rFonts w:cs="Times New Roman"/>
          <w:sz w:val="28"/>
          <w:szCs w:val="28"/>
          <w:lang w:val="ru-RU" w:bidi="ru-RU"/>
        </w:rPr>
        <w:t>Мишина Е.А.</w:t>
      </w:r>
      <w:r>
        <w:rPr>
          <w:rFonts w:cs="Times New Roman"/>
          <w:sz w:val="28"/>
          <w:szCs w:val="28"/>
          <w:lang w:val="ru-RU"/>
        </w:rPr>
        <w:t>, Тарасов А.В.</w:t>
      </w:r>
      <w:r>
        <w:rPr>
          <w:sz w:val="28"/>
          <w:szCs w:val="28"/>
        </w:rPr>
        <w:t>), Департаменту физической культуры и спорта автономного округа (</w:t>
      </w:r>
      <w:r>
        <w:rPr>
          <w:color w:val="000000"/>
          <w:spacing w:val="-2"/>
          <w:sz w:val="28"/>
          <w:szCs w:val="28"/>
        </w:rPr>
        <w:t>Васильев К.А.</w:t>
      </w:r>
      <w:r>
        <w:rPr>
          <w:sz w:val="28"/>
          <w:szCs w:val="28"/>
          <w:lang w:bidi="ru-RU"/>
        </w:rPr>
        <w:t xml:space="preserve">), </w:t>
      </w:r>
      <w:r>
        <w:rPr>
          <w:sz w:val="28"/>
          <w:szCs w:val="28"/>
        </w:rPr>
        <w:t>обеспечить исполнение пункта 4, в части касающейся.</w:t>
      </w:r>
    </w:p>
    <w:p>
      <w:pPr>
        <w:pStyle w:val="Normal"/>
        <w:widowControl w:val="false"/>
        <w:suppressLineNumbers w:val="0"/>
        <w:spacing w:lineRule="auto" w:line="264" w:before="0" w:after="0"/>
        <w:ind w:firstLine="709" w:start="0" w:end="0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 xml:space="preserve">7. Административно-ресурсному отделу Административного управления Департамента </w:t>
      </w:r>
      <w:r>
        <w:rPr>
          <w:rStyle w:val="1"/>
        </w:rPr>
        <w:t xml:space="preserve">(Никонов А.В.) </w:t>
      </w:r>
      <w:r>
        <w:rPr>
          <w:sz w:val="28"/>
          <w:szCs w:val="28"/>
        </w:rPr>
        <w:t xml:space="preserve">обеспечить размещение на официальном сайте Департамента </w:t>
      </w:r>
      <w:r>
        <w:rPr>
          <w:rStyle w:val="1"/>
          <w:rFonts w:cs="Times New Roman"/>
          <w:sz w:val="28"/>
          <w:szCs w:val="28"/>
        </w:rPr>
        <w:t xml:space="preserve">и рассылку настоящего приказа </w:t>
        <w:br/>
        <w:t>в МОУО, автономное учреждение профессионального образования автономного округа «Ханты-Мансийский технолого-педагогический колледж», казенное общеобразовательное учреждение автономного округа «Специальная учебно-воспитательная школа № 1»,</w:t>
      </w:r>
      <w:r>
        <w:rPr>
          <w:rStyle w:val="1"/>
          <w:rFonts w:cs="Times New Roman"/>
          <w:sz w:val="28"/>
          <w:szCs w:val="28"/>
        </w:rPr>
        <w:t xml:space="preserve"> казенное общеобразовательное учреждение автономного округа «Специальная учебно-воспитательная школа № 2»,</w:t>
      </w:r>
      <w:r>
        <w:rPr>
          <w:rStyle w:val="1"/>
          <w:rFonts w:cs="Times New Roman"/>
          <w:sz w:val="28"/>
          <w:szCs w:val="28"/>
        </w:rPr>
        <w:t xml:space="preserve"> казенное общеобразовательное учреждение автономного округа  «Нижневартовская школа для обучающихся </w:t>
        <w:br/>
        <w:t xml:space="preserve">с ограниченными возможностями здоровья № 1», казенное общеобразовательное учреждение автономного округа «Урайская школа для обучающихся с ограниченными возможностями здоровья», казенное общеобразовательное учреждение автономного округа «Кадетская школа-интернат имени Героя Советского Союза Безноскова Ивана Захаровича», казенное общеобразовательное учреждение автономного округа «Излучинская школа-интернат для обучающихся с ограниченными возможностями здоровья», </w:t>
      </w:r>
      <w:r>
        <w:rPr>
          <w:rStyle w:val="1"/>
          <w:rFonts w:cs="Times New Roman"/>
          <w:sz w:val="28"/>
          <w:szCs w:val="28"/>
        </w:rPr>
        <w:t>бюджетное общеобразовательное учреждение автономного округа «Югорский физико-математический лицей-интернат», бюджетное общеобразовательное учреждение автономного округа «Лицей им. Ф.Г. Атякшева»,</w:t>
      </w:r>
      <w:r>
        <w:rPr>
          <w:rStyle w:val="1"/>
          <w:rFonts w:cs="Times New Roman"/>
          <w:sz w:val="28"/>
          <w:szCs w:val="28"/>
        </w:rPr>
        <w:t xml:space="preserve"> бюджетное профессиональное образовательное учреждение автономного округа «Колледж-интернат Центр искусств для одарённых детей Севера», автономное профессиональное образовательное учреждение автономного округа «Югорский колледж-интернат олимпийского резерва», бюджетное профессиональное образовательное учреждение автономного округа «Сургутский колледж русской культуры им. А.С. Знаменского», РЦОИ.</w:t>
      </w:r>
      <w:r>
        <w:rPr>
          <w:color w:val="000000"/>
          <w:spacing w:val="1"/>
          <w:sz w:val="28"/>
          <w:szCs w:val="26"/>
        </w:rPr>
        <w:t>.</w:t>
      </w:r>
    </w:p>
    <w:p>
      <w:pPr>
        <w:pStyle w:val="Normal"/>
        <w:widowControl w:val="false"/>
        <w:suppressLineNumbers w:val="0"/>
        <w:spacing w:lineRule="auto" w:line="264" w:before="0" w:after="0"/>
        <w:ind w:firstLine="709" w:start="0" w:end="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6"/>
        </w:rPr>
        <w:t xml:space="preserve">8. </w:t>
      </w:r>
      <w:r>
        <w:rPr>
          <w:rFonts w:eastAsia="Sylfaen"/>
          <w:sz w:val="28"/>
          <w:szCs w:val="28"/>
        </w:rPr>
        <w:t>Контроль</w:t>
      </w:r>
      <w:r>
        <w:rPr>
          <w:sz w:val="28"/>
          <w:szCs w:val="28"/>
        </w:rPr>
        <w:t xml:space="preserve"> за исполнением настоящего приказа возложить </w:t>
        <w:br/>
        <w:t>на заместителя директора Департамента И.В. Святченко.</w:t>
      </w:r>
    </w:p>
    <w:p>
      <w:pPr>
        <w:pStyle w:val="Normal"/>
        <w:spacing w:lineRule="auto" w:line="264"/>
        <w:ind w:end="35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Rule="auto" w:line="264"/>
        <w:ind w:start="0"/>
        <w:jc w:val="start"/>
        <w:rPr>
          <w:sz w:val="28"/>
          <w:szCs w:val="28"/>
          <w:highlight w:val="none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BodyText"/>
        <w:spacing w:lineRule="auto" w:line="264"/>
        <w:ind w:start="0"/>
        <w:jc w:val="start"/>
        <w:rPr>
          <w:sz w:val="28"/>
          <w:szCs w:val="28"/>
          <w:highlight w:val="none"/>
          <w:lang w:val="en-US"/>
        </w:rPr>
      </w:pPr>
      <w:r>
        <w:rPr>
          <w:sz w:val="28"/>
          <w:szCs w:val="28"/>
          <w:lang w:val="en-US"/>
        </w:rPr>
      </w:r>
    </w:p>
    <w:tbl>
      <w:tblPr>
        <w:tblW w:w="9411" w:type="dxa"/>
        <w:jc w:val="start"/>
        <w:tblInd w:w="57" w:type="dxa"/>
        <w:tblLayout w:type="fixed"/>
        <w:tblCellMar>
          <w:top w:w="0" w:type="dxa"/>
          <w:start w:w="57" w:type="dxa"/>
          <w:bottom w:w="0" w:type="dxa"/>
          <w:end w:w="57" w:type="dxa"/>
        </w:tblCellMar>
        <w:tblLook w:firstRow="1" w:noVBand="1" w:lastRow="0" w:firstColumn="1" w:lastColumn="0" w:noHBand="0" w:val="04a0"/>
      </w:tblPr>
      <w:tblGrid>
        <w:gridCol w:w="3316"/>
        <w:gridCol w:w="3912"/>
        <w:gridCol w:w="2183"/>
      </w:tblGrid>
      <w:tr>
        <w:trPr>
          <w:trHeight w:val="1641" w:hRule="atLeast"/>
        </w:trPr>
        <w:tc>
          <w:tcPr>
            <w:tcW w:w="3316" w:type="dxa"/>
            <w:tcBorders/>
          </w:tcPr>
          <w:p>
            <w:pPr>
              <w:pStyle w:val="Normal"/>
              <w:rPr>
                <w:color w:themeColor="text1"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директора Департамента</w:t>
            </w:r>
          </w:p>
        </w:tc>
        <w:tc>
          <w:tcPr>
            <w:tcW w:w="3912" w:type="dxa"/>
            <w:tcBorders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color w:val="D9D9D9"/>
              </w:rPr>
            </w:pPr>
            <w:r>
              <w:drawing>
                <wp:anchor distT="0" distB="0" distL="0" distR="0" simplePos="0" relativeHeight="2" behindDoc="1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-26035</wp:posOffset>
                  </wp:positionV>
                  <wp:extent cx="2447925" cy="1003300"/>
                  <wp:effectExtent l="0" t="0" r="0" b="0"/>
                  <wp:wrapNone/>
                  <wp:docPr id="6" name="Рисунок 1" descr="Изображение выглядит как текст, снимок экрана, Прямоугольник, дизайн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" descr="Изображение выглядит как текст, снимок экрана, Прямоугольник, дизайн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003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Calibri" w:ascii="Calibri" w:hAnsi="Calibri"/>
                <w:b/>
                <w:color w:val="D9D9D9"/>
              </w:rPr>
              <w:t>ДОКУМЕНТ ПОДПИСАН</w:t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color w:val="D9D9D9"/>
              </w:rPr>
            </w:pPr>
            <w:r>
              <w:rPr>
                <w:rFonts w:cs="Calibri" w:ascii="Calibri" w:hAnsi="Calibri"/>
                <w:b/>
                <w:color w:val="D9D9D9"/>
              </w:rPr>
              <w:t>ЭЛЕКТРОННОЙ ПОДПИСЬЮ</w:t>
            </w:r>
          </w:p>
          <w:p>
            <w:pPr>
              <w:pStyle w:val="Normal"/>
              <w:rPr>
                <w:rFonts w:ascii="Calibri" w:hAnsi="Calibri" w:cs="Calibri"/>
                <w:color w:val="D9D9D9"/>
                <w:sz w:val="8"/>
                <w:szCs w:val="8"/>
              </w:rPr>
            </w:pPr>
            <w:r>
              <w:rPr>
                <w:rFonts w:cs="Calibri" w:ascii="Calibri" w:hAnsi="Calibri"/>
                <w:color w:val="D9D9D9"/>
                <w:sz w:val="8"/>
                <w:szCs w:val="8"/>
              </w:rPr>
            </w:r>
          </w:p>
          <w:p>
            <w:pPr>
              <w:pStyle w:val="Normal"/>
              <w:ind w:firstLine="142"/>
              <w:rPr>
                <w:rFonts w:ascii="Calibri" w:hAnsi="Calibri" w:cs="Calibri"/>
                <w:color w:val="D9D9D9"/>
                <w:sz w:val="18"/>
                <w:szCs w:val="18"/>
              </w:rPr>
            </w:pPr>
            <w:r>
              <w:rPr>
                <w:rFonts w:cs="Calibri" w:ascii="Calibri" w:hAnsi="Calibri"/>
                <w:color w:val="D9D9D9"/>
                <w:sz w:val="18"/>
                <w:szCs w:val="18"/>
              </w:rPr>
              <w:t>Сертификат [Номер сертификата 1]</w:t>
            </w:r>
          </w:p>
          <w:p>
            <w:pPr>
              <w:pStyle w:val="Normal"/>
              <w:ind w:firstLine="142"/>
              <w:rPr>
                <w:rFonts w:ascii="Calibri" w:hAnsi="Calibri" w:cs="Calibri"/>
                <w:color w:val="D9D9D9"/>
                <w:sz w:val="18"/>
                <w:szCs w:val="18"/>
              </w:rPr>
            </w:pPr>
            <w:r>
              <w:rPr>
                <w:rFonts w:cs="Calibri" w:ascii="Calibri" w:hAnsi="Calibri"/>
                <w:color w:val="D9D9D9"/>
                <w:sz w:val="18"/>
                <w:szCs w:val="18"/>
              </w:rPr>
              <w:t>Владелец [Владелец сертификата 1]</w:t>
            </w:r>
          </w:p>
          <w:p>
            <w:pPr>
              <w:pStyle w:val="Normal"/>
              <w:ind w:firstLine="142"/>
              <w:rPr>
                <w:sz w:val="10"/>
                <w:szCs w:val="10"/>
              </w:rPr>
            </w:pPr>
            <w:r>
              <w:rPr>
                <w:rFonts w:cs="Calibri" w:ascii="Calibri" w:hAnsi="Calibri"/>
                <w:color w:val="D9D9D9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2183" w:type="dxa"/>
            <w:tcBorders/>
          </w:tcPr>
          <w:p>
            <w:pPr>
              <w:pStyle w:val="Normal"/>
              <w:jc w:val="end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С.А. Возняк</w:t>
            </w:r>
          </w:p>
        </w:tc>
      </w:tr>
    </w:tbl>
    <w:p>
      <w:pPr>
        <w:pStyle w:val="Normal"/>
        <w:shd w:val="nil" w:color="auto"/>
        <w:rPr>
          <w:sz w:val="28"/>
          <w:szCs w:val="28"/>
          <w:highlight w:val="none"/>
          <w:lang w:val="en-US"/>
        </w:rPr>
      </w:pPr>
      <w:r>
        <w:rPr>
          <w:sz w:val="28"/>
          <w:szCs w:val="28"/>
          <w:lang w:val="en-US"/>
        </w:rPr>
      </w:r>
    </w:p>
    <w:sectPr>
      <w:headerReference w:type="even" r:id="rId5"/>
      <w:headerReference w:type="default" r:id="rId6"/>
      <w:headerReference w:type="first" r:id="rId7"/>
      <w:footnotePr>
        <w:numFmt w:val="decimal"/>
      </w:footnotePr>
      <w:type w:val="nextPage"/>
      <w:pgSz w:w="11906" w:h="16838"/>
      <w:pgMar w:left="1417" w:right="1134" w:gutter="0" w:header="709" w:top="1134" w:footer="0" w:bottom="110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Book Antiqua">
    <w:charset w:val="cc" w:characterSet="windows-1251"/>
    <w:family w:val="roman"/>
    <w:pitch w:val="variable"/>
  </w:font>
  <w:font w:name="Sylfae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Verdana">
    <w:charset w:val="cc" w:characterSet="windows-125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suppressLineNumbers w:val="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Style21"/>
        </w:rPr>
        <w:footnoteRef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Сопровождение деятельности Апелляционной комиссии, в том числе содержит подготовительную работу, предусматривающую консультирование администраторов пунктов рассмотрения апелляций, снабжение пунктов рассмотрения апелляций программным обеспечением, организацию проверки его работоспособности, иные мероприятия, необходимые </w:t>
      </w:r>
      <w:r>
        <w:rPr>
          <w:rFonts w:eastAsia="Times New Roman" w:cs="Times New Roman"/>
          <w:sz w:val="22"/>
          <w:szCs w:val="22"/>
        </w:rPr>
        <w:t>для обеспечения функционирования пунктов рассмотрения апелляций.</w:t>
      </w:r>
    </w:p>
  </w:footnote>
  <w:footnote w:id="3">
    <w:p>
      <w:pPr>
        <w:pStyle w:val="FootnoteText"/>
        <w:suppressLineNumbers w:val="0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Style21"/>
        </w:rPr>
        <w:footnoteRef/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 xml:space="preserve">Сроки установлены техническим заданием на реализацию мероприятий государственного задания на оказание государственной услуги (выполнении работы): «Оценка качества образования», РЦОИ в 2026 году, курируемых специалистами отдела адаптированных образовательных программ и итоговой аттестации Управления общего образования Департамента образования и науки Ханты-Мансийского автономного округа – Югры», утвержденным приказом Департамента от 26.01.2026 № </w:t>
      </w:r>
      <w:r>
        <w:rPr>
          <w:rFonts w:eastAsia="Times New Roman" w:cs="Times New Roman"/>
          <w:color w:val="000000"/>
          <w:sz w:val="22"/>
          <w:szCs w:val="22"/>
        </w:rPr>
        <w:t>10-П-111</w:t>
      </w:r>
      <w:r>
        <w:rPr>
          <w:rFonts w:eastAsia="Times New Roman" w:cs="Times New Roman"/>
          <w:sz w:val="22"/>
          <w:szCs w:val="22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end="360"/>
      <w:rPr/>
    </w:pPr>
    <w:r>
      <w:rPr/>
    </w:r>
    <w:r>
      <mc:AlternateContent>
        <mc:Choice Requires="wps">
          <w:drawing>
            <wp:anchor distT="0" distB="0" distL="0" distR="0" simplePos="0" relativeHeight="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7" name="Врезка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isLgl/>
      <w:lvlText w:val="%1."/>
      <w:lvlJc w:val="start"/>
      <w:pPr>
        <w:tabs>
          <w:tab w:val="num" w:pos="0"/>
        </w:tabs>
        <w:ind w:start="1429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lvlText w:val="%1.%2."/>
      <w:lvlJc w:val="start"/>
      <w:pPr>
        <w:tabs>
          <w:tab w:val="num" w:pos="0"/>
        </w:tabs>
        <w:ind w:start="1861" w:hanging="432"/>
      </w:pPr>
      <w:rPr/>
    </w:lvl>
    <w:lvl w:ilvl="2">
      <w:start w:val="1"/>
      <w:numFmt w:val="decimal"/>
      <w:isLgl/>
      <w:lvlText w:val="%1.%2.%3."/>
      <w:lvlJc w:val="start"/>
      <w:pPr>
        <w:tabs>
          <w:tab w:val="num" w:pos="0"/>
        </w:tabs>
        <w:ind w:start="2293" w:hanging="504"/>
      </w:pPr>
      <w:rPr/>
    </w:lvl>
    <w:lvl w:ilvl="3">
      <w:start w:val="1"/>
      <w:numFmt w:val="decimal"/>
      <w:isLgl/>
      <w:lvlText w:val="%1.%2.%3.%4."/>
      <w:lvlJc w:val="start"/>
      <w:pPr>
        <w:tabs>
          <w:tab w:val="num" w:pos="0"/>
        </w:tabs>
        <w:ind w:start="2797" w:hanging="648"/>
      </w:pPr>
      <w:rPr/>
    </w:lvl>
    <w:lvl w:ilvl="4">
      <w:start w:val="1"/>
      <w:numFmt w:val="decimal"/>
      <w:isLgl/>
      <w:lvlText w:val="%1.%2.%3.%4.%5."/>
      <w:lvlJc w:val="start"/>
      <w:pPr>
        <w:tabs>
          <w:tab w:val="num" w:pos="0"/>
        </w:tabs>
        <w:ind w:start="3301" w:hanging="792"/>
      </w:pPr>
      <w:rPr/>
    </w:lvl>
    <w:lvl w:ilvl="5">
      <w:start w:val="1"/>
      <w:numFmt w:val="decimal"/>
      <w:isLgl/>
      <w:lvlText w:val="%1.%2.%3.%4.%5.%6."/>
      <w:lvlJc w:val="start"/>
      <w:pPr>
        <w:tabs>
          <w:tab w:val="num" w:pos="0"/>
        </w:tabs>
        <w:ind w:start="3805" w:hanging="936"/>
      </w:pPr>
      <w:rPr/>
    </w:lvl>
    <w:lvl w:ilvl="6">
      <w:start w:val="1"/>
      <w:numFmt w:val="decimal"/>
      <w:isLgl/>
      <w:lvlText w:val="%1.%2.%3.%4.%5.%6.%7."/>
      <w:lvlJc w:val="start"/>
      <w:pPr>
        <w:tabs>
          <w:tab w:val="num" w:pos="0"/>
        </w:tabs>
        <w:ind w:start="4309" w:hanging="1080"/>
      </w:pPr>
      <w:rPr/>
    </w:lvl>
    <w:lvl w:ilvl="7">
      <w:start w:val="1"/>
      <w:numFmt w:val="decimal"/>
      <w:isLgl/>
      <w:lvlText w:val="%1.%2.%3.%4.%5.%6.%7.%8."/>
      <w:lvlJc w:val="start"/>
      <w:pPr>
        <w:tabs>
          <w:tab w:val="num" w:pos="0"/>
        </w:tabs>
        <w:ind w:start="4813" w:hanging="1224"/>
      </w:pPr>
      <w:rPr/>
    </w:lvl>
    <w:lvl w:ilvl="8">
      <w:start w:val="1"/>
      <w:numFmt w:val="decimal"/>
      <w:isLgl/>
      <w:lvlText w:val="%1.%2.%3.%4.%5.%6.%7.%8.%9."/>
      <w:lvlJc w:val="start"/>
      <w:pPr>
        <w:tabs>
          <w:tab w:val="num" w:pos="0"/>
        </w:tabs>
        <w:ind w:start="5389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outlineLvl w:val="0"/>
    </w:pPr>
    <w:rPr>
      <w:sz w:val="28"/>
      <w:szCs w:val="24"/>
    </w:rPr>
  </w:style>
  <w:style w:type="paragraph" w:styleId="Heading2">
    <w:name w:val="heading 2"/>
    <w:basedOn w:val="Normal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uiPriority w:val="9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qFormat/>
    <w:pPr>
      <w:keepNext w:val="true"/>
      <w:outlineLvl w:val="3"/>
    </w:pPr>
    <w:rPr>
      <w:b/>
      <w:bCs/>
      <w:sz w:val="28"/>
      <w:szCs w:val="24"/>
    </w:rPr>
  </w:style>
  <w:style w:type="paragraph" w:styleId="Heading5">
    <w:name w:val="heading 5"/>
    <w:basedOn w:val="Normal"/>
    <w:qFormat/>
    <w:pPr>
      <w:keepNext w:val="true"/>
      <w:jc w:val="center"/>
      <w:outlineLvl w:val="4"/>
    </w:pPr>
    <w:rPr>
      <w:i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uiPriority w:val="99"/>
    <w:semiHidden/>
    <w:qFormat/>
    <w:rPr>
      <w:rFonts w:ascii="Tahoma" w:hAnsi="Tahoma" w:cs="Tahoma"/>
      <w:sz w:val="16"/>
      <w:szCs w:val="16"/>
    </w:rPr>
  </w:style>
  <w:style w:type="character" w:styleId="Style7" w:customStyle="1">
    <w:name w:val="Электронная подпись Знак"/>
    <w:uiPriority w:val="99"/>
    <w:semiHidden/>
    <w:qFormat/>
    <w:rPr>
      <w:rFonts w:ascii="Calibri" w:hAnsi="Calibri" w:eastAsia="Times New Roman" w:cs="Times New Roman"/>
      <w:lang w:eastAsia="ru-RU"/>
    </w:rPr>
  </w:style>
  <w:style w:type="character" w:styleId="Hyperlink">
    <w:name w:val="Hyperlink"/>
    <w:unhideWhenUsed/>
    <w:rPr>
      <w:color w:val="0000FF"/>
      <w:u w:val="single"/>
    </w:rPr>
  </w:style>
  <w:style w:type="character" w:styleId="FollowedHyperlink">
    <w:name w:val="FollowedHyperlink"/>
    <w:uiPriority w:val="99"/>
    <w:rPr>
      <w:color w:val="800080"/>
      <w:u w:val="single"/>
    </w:rPr>
  </w:style>
  <w:style w:type="character" w:styleId="7" w:customStyle="1">
    <w:name w:val="Заголовок 7 Знак"/>
    <w:qFormat/>
    <w:rPr>
      <w:sz w:val="24"/>
      <w:szCs w:val="24"/>
    </w:rPr>
  </w:style>
  <w:style w:type="character" w:styleId="PageNumber">
    <w:name w:val="page number"/>
    <w:basedOn w:val="DefaultParagraphFont"/>
    <w:uiPriority w:val="99"/>
    <w:rPr/>
  </w:style>
  <w:style w:type="character" w:styleId="2" w:customStyle="1">
    <w:name w:val="Заголовок 2 Знак"/>
    <w:qFormat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zagolovok" w:customStyle="1">
    <w:name w:val="zagolovok"/>
    <w:basedOn w:val="DefaultParagraphFont"/>
    <w:qFormat/>
    <w:rPr/>
  </w:style>
  <w:style w:type="character" w:styleId="Style8" w:customStyle="1">
    <w:name w:val="Текст Знак"/>
    <w:qFormat/>
    <w:rPr>
      <w:rFonts w:ascii="Courier New" w:hAnsi="Courier New" w:cs="Courier New"/>
      <w:lang w:val="ru-RU" w:eastAsia="ru-RU" w:bidi="ar-SA"/>
    </w:rPr>
  </w:style>
  <w:style w:type="character" w:styleId="FontStyle26" w:customStyle="1">
    <w:name w:val="Font Style26"/>
    <w:qFormat/>
    <w:rPr>
      <w:rFonts w:ascii="Times New Roman" w:hAnsi="Times New Roman" w:cs="Times New Roman"/>
      <w:sz w:val="24"/>
      <w:szCs w:val="24"/>
    </w:rPr>
  </w:style>
  <w:style w:type="character" w:styleId="1" w:customStyle="1">
    <w:name w:val="Заголовок 1 Знак"/>
    <w:qFormat/>
    <w:rPr>
      <w:rFonts w:ascii="Times New Roman" w:hAnsi="Times New Roman" w:eastAsia="Times New Roman"/>
      <w:sz w:val="28"/>
      <w:szCs w:val="24"/>
    </w:rPr>
  </w:style>
  <w:style w:type="character" w:styleId="Style9" w:customStyle="1">
    <w:name w:val="Основной текст Знак"/>
    <w:uiPriority w:val="1"/>
    <w:qFormat/>
    <w:rPr>
      <w:rFonts w:ascii="Times New Roman" w:hAnsi="Times New Roman" w:eastAsia="Times New Roman"/>
    </w:rPr>
  </w:style>
  <w:style w:type="character" w:styleId="Style10" w:customStyle="1">
    <w:name w:val="Абзац списка Знак"/>
    <w:uiPriority w:val="34"/>
    <w:qFormat/>
    <w:rPr>
      <w:rFonts w:eastAsia="Times New Roman"/>
      <w:sz w:val="22"/>
      <w:szCs w:val="22"/>
    </w:rPr>
  </w:style>
  <w:style w:type="character" w:styleId="Style11" w:customStyle="1">
    <w:name w:val="Гипертекстовая ссылка"/>
    <w:uiPriority w:val="99"/>
    <w:qFormat/>
    <w:rPr>
      <w:b/>
      <w:bCs/>
      <w:color w:val="106BBE"/>
    </w:rPr>
  </w:style>
  <w:style w:type="character" w:styleId="Style12" w:customStyle="1">
    <w:name w:val="Без интервала Знак"/>
    <w:uiPriority w:val="1"/>
    <w:qFormat/>
    <w:rPr>
      <w:rFonts w:cs="Calibri"/>
    </w:rPr>
  </w:style>
  <w:style w:type="character" w:styleId="Style13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/>
      <w:sz w:val="28"/>
      <w:szCs w:val="2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Times New Roman" w:cs="Arial"/>
      <w:b/>
      <w:bCs/>
      <w:sz w:val="26"/>
      <w:szCs w:val="26"/>
    </w:rPr>
  </w:style>
  <w:style w:type="character" w:styleId="4" w:customStyle="1">
    <w:name w:val="Заголовок 4 Знак"/>
    <w:basedOn w:val="DefaultParagraphFont"/>
    <w:qFormat/>
    <w:rPr>
      <w:rFonts w:ascii="Times New Roman" w:hAnsi="Times New Roman" w:eastAsia="Times New Roman"/>
      <w:b/>
      <w:bCs/>
      <w:sz w:val="28"/>
      <w:szCs w:val="24"/>
    </w:rPr>
  </w:style>
  <w:style w:type="character" w:styleId="5" w:customStyle="1">
    <w:name w:val="Заголовок 5 Знак"/>
    <w:basedOn w:val="DefaultParagraphFont"/>
    <w:qFormat/>
    <w:rPr>
      <w:rFonts w:ascii="Times New Roman" w:hAnsi="Times New Roman" w:eastAsia="Times New Roman"/>
      <w:i/>
      <w:sz w:val="24"/>
      <w:szCs w:val="24"/>
    </w:rPr>
  </w:style>
  <w:style w:type="character" w:styleId="Style14" w:customStyle="1">
    <w:name w:val="Основной текст с отступом Знак"/>
    <w:basedOn w:val="DefaultParagraphFont"/>
    <w:qFormat/>
    <w:rPr>
      <w:rFonts w:ascii="Times New Roman" w:hAnsi="Times New Roman" w:eastAsia="Times New Roman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styleId="Style15" w:customStyle="1">
    <w:name w:val="Нижний колонтитул Знак"/>
    <w:basedOn w:val="DefaultParagraphFont"/>
    <w:uiPriority w:val="99"/>
    <w:qFormat/>
    <w:rPr>
      <w:rFonts w:ascii="Times New Roman" w:hAnsi="Times New Roman" w:eastAsia="Times New Roman"/>
      <w:sz w:val="28"/>
      <w:szCs w:val="24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Style16" w:customStyle="1">
    <w:name w:val="Название Знак"/>
    <w:basedOn w:val="DefaultParagraphFont"/>
    <w:qFormat/>
    <w:rPr>
      <w:rFonts w:ascii="Times New Roman" w:hAnsi="Times New Roman" w:eastAsia="Times New Roman"/>
      <w:b/>
      <w:sz w:val="24"/>
      <w:szCs w:val="24"/>
    </w:rPr>
  </w:style>
  <w:style w:type="character" w:styleId="21" w:customStyle="1">
    <w:name w:val="Основной текст с отступом 2 Знак"/>
    <w:basedOn w:val="DefaultParagraphFont"/>
    <w:qFormat/>
    <w:rPr>
      <w:rFonts w:ascii="Times New Roman" w:hAnsi="Times New Roman" w:eastAsia="Times New Roman"/>
      <w:sz w:val="28"/>
      <w:szCs w:val="24"/>
    </w:rPr>
  </w:style>
  <w:style w:type="character" w:styleId="31" w:customStyle="1">
    <w:name w:val="Основной текст с отступом 3 Знак"/>
    <w:basedOn w:val="DefaultParagraphFont"/>
    <w:qFormat/>
    <w:rPr>
      <w:rFonts w:ascii="Times New Roman" w:hAnsi="Times New Roman" w:eastAsia="Times New Roman"/>
      <w:sz w:val="28"/>
      <w:szCs w:val="24"/>
    </w:rPr>
  </w:style>
  <w:style w:type="character" w:styleId="22" w:customStyle="1">
    <w:name w:val="Основной текст 2 Знак"/>
    <w:basedOn w:val="DefaultParagraphFont"/>
    <w:qFormat/>
    <w:rPr>
      <w:rFonts w:ascii="Times New Roman" w:hAnsi="Times New Roman" w:eastAsia="Times New Roman"/>
      <w:bCs/>
      <w:sz w:val="28"/>
      <w:szCs w:val="24"/>
    </w:rPr>
  </w:style>
  <w:style w:type="character" w:styleId="32" w:customStyle="1">
    <w:name w:val="Основной текст 3 Знак"/>
    <w:basedOn w:val="DefaultParagraphFont"/>
    <w:qFormat/>
    <w:rPr>
      <w:rFonts w:ascii="Times New Roman" w:hAnsi="Times New Roman" w:eastAsia="Times New Roman"/>
      <w:sz w:val="24"/>
    </w:rPr>
  </w:style>
  <w:style w:type="character" w:styleId="17BookAntiqua9pt" w:customStyle="1">
    <w:name w:val="Основной текст (17) + Book Antiqua;9 pt"/>
    <w:basedOn w:val="DefaultParagraphFont"/>
    <w:qFormat/>
    <w:rPr>
      <w:rFonts w:ascii="Book Antiqua" w:hAnsi="Book Antiqua" w:eastAsia="Book Antiqua" w:cs="Book Antiqua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Pr>
      <w:rFonts w:ascii="Times New Roman" w:hAnsi="Times New Roman" w:eastAsia="Times New Roman"/>
    </w:rPr>
  </w:style>
  <w:style w:type="character" w:styleId="Style18" w:customStyle="1">
    <w:name w:val="Тема примечания Знак"/>
    <w:basedOn w:val="Style17"/>
    <w:uiPriority w:val="99"/>
    <w:semiHidden/>
    <w:qFormat/>
    <w:rPr>
      <w:rFonts w:ascii="Times New Roman" w:hAnsi="Times New Roman" w:eastAsia="Times New Roman"/>
      <w:b/>
      <w:bCs/>
    </w:rPr>
  </w:style>
  <w:style w:type="character" w:styleId="23" w:customStyle="1">
    <w:name w:val="Основной текст (2)_"/>
    <w:basedOn w:val="DefaultParagraphFont"/>
    <w:qFormat/>
    <w:rPr>
      <w:rFonts w:eastAsia="Times New Roman"/>
      <w:sz w:val="26"/>
      <w:szCs w:val="26"/>
      <w:shd w:fill="FFFFFF" w:val="clear"/>
    </w:rPr>
  </w:style>
  <w:style w:type="character" w:styleId="Style19" w:customStyle="1">
    <w:name w:val="Основной текст_"/>
    <w:basedOn w:val="DefaultParagraphFont"/>
    <w:qFormat/>
    <w:rPr>
      <w:rFonts w:eastAsia="Times New Roman"/>
      <w:sz w:val="26"/>
      <w:szCs w:val="26"/>
      <w:shd w:fill="FFFFFF" w:val="clear"/>
    </w:rPr>
  </w:style>
  <w:style w:type="character" w:styleId="115pt" w:customStyle="1">
    <w:name w:val="Основной текст + 11;5 pt"/>
    <w:basedOn w:val="Style19"/>
    <w:qFormat/>
    <w:rPr>
      <w:rFonts w:eastAsia="Times New Roman"/>
      <w:color w:val="000000"/>
      <w:spacing w:val="0"/>
      <w:sz w:val="23"/>
      <w:szCs w:val="23"/>
      <w:shd w:fill="FFFFFF" w:val="clear"/>
      <w:lang w:val="ru-RU"/>
    </w:rPr>
  </w:style>
  <w:style w:type="character" w:styleId="33" w:customStyle="1">
    <w:name w:val="Основной текст (3)_"/>
    <w:basedOn w:val="DefaultParagraphFont"/>
    <w:qFormat/>
    <w:rPr>
      <w:rFonts w:eastAsia="Times New Roman"/>
      <w:sz w:val="23"/>
      <w:szCs w:val="23"/>
      <w:shd w:fill="FFFFFF" w:val="clear"/>
    </w:rPr>
  </w:style>
  <w:style w:type="character" w:styleId="11pt" w:customStyle="1">
    <w:name w:val="Основной текст + 11 pt;Полужирный"/>
    <w:basedOn w:val="Style19"/>
    <w:qFormat/>
    <w:rPr>
      <w:rFonts w:eastAsia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sz w:val="22"/>
      <w:szCs w:val="22"/>
      <w:u w:val="none"/>
      <w:shd w:fill="FFFFFF" w:val="clear"/>
      <w:lang w:val="ru-RU"/>
    </w:rPr>
  </w:style>
  <w:style w:type="character" w:styleId="115pt1" w:customStyle="1">
    <w:name w:val="Основной текст + 11;5 pt;Курсив"/>
    <w:basedOn w:val="Style19"/>
    <w:qFormat/>
    <w:rPr>
      <w:rFonts w:eastAsia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sz w:val="23"/>
      <w:szCs w:val="23"/>
      <w:u w:val="none"/>
      <w:shd w:fill="FFFFFF" w:val="clear"/>
      <w:lang w:val="ru-RU"/>
    </w:rPr>
  </w:style>
  <w:style w:type="character" w:styleId="Sylfaen8pt" w:customStyle="1">
    <w:name w:val="Основной текст + Sylfaen;8 pt"/>
    <w:basedOn w:val="Style19"/>
    <w:qFormat/>
    <w:rPr>
      <w:rFonts w:ascii="Sylfaen" w:hAnsi="Sylfaen" w:eastAsia="Sylfaen" w:cs="Sylfae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sz w:val="16"/>
      <w:szCs w:val="16"/>
      <w:u w:val="none"/>
      <w:shd w:fill="FFFFFF" w:val="clear"/>
      <w:lang w:val="ru-RU"/>
    </w:rPr>
  </w:style>
  <w:style w:type="character" w:styleId="Style20" w:customStyle="1">
    <w:name w:val="Текст сноски Знак"/>
    <w:basedOn w:val="DefaultParagraphFont"/>
    <w:uiPriority w:val="99"/>
    <w:semiHidden/>
    <w:qFormat/>
    <w:rPr>
      <w:rFonts w:ascii="Times New Roman" w:hAnsi="Times New Roman" w:eastAsia="Times New Roman"/>
    </w:rPr>
  </w:style>
  <w:style w:type="character" w:styleId="Style2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0Exact" w:customStyle="1">
    <w:name w:val="Основной текст (30) Exac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1"/>
      <w:sz w:val="17"/>
      <w:szCs w:val="17"/>
      <w:u w:val="none"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start="720" w:end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start="720" w:end="720"/>
    </w:pPr>
    <w:rPr>
      <w:i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start="0" w:end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start="283" w:end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start="567" w:end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start="850" w:end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start="1134" w:end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start="1417" w:end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start="1701" w:end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start="1984" w:end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start="2268" w:end="0"/>
    </w:pPr>
    <w:rPr/>
  </w:style>
  <w:style w:type="paragraph" w:styleId="IndexHeading">
    <w:name w:val="index heading"/>
    <w:basedOn w:val="Style22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uiPriority w:val="99"/>
    <w:semiHidden/>
    <w:unhideWhenUsed/>
    <w:qFormat/>
    <w:pPr/>
    <w:rPr>
      <w:rFonts w:ascii="Calibri" w:hAnsi="Calibri"/>
      <w:sz w:val="22"/>
      <w:szCs w:val="22"/>
    </w:rPr>
  </w:style>
  <w:style w:type="paragraph" w:styleId="Style24" w:customStyle="1">
    <w:name w:val="Знак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BodyTextIndent">
    <w:name w:val="Body Text Indent"/>
    <w:basedOn w:val="Normal"/>
    <w:pPr>
      <w:spacing w:before="0" w:after="120"/>
      <w:ind w:start="283"/>
    </w:pPr>
    <w:rPr>
      <w:sz w:val="24"/>
      <w:szCs w:val="24"/>
    </w:rPr>
  </w:style>
  <w:style w:type="paragraph" w:styleId="ConsPlusNormal" w:customStyle="1">
    <w:name w:val="ConsPlusNormal"/>
    <w:qFormat/>
    <w:pPr>
      <w:widowControl w:val="false"/>
      <w:bidi w:val="0"/>
      <w:spacing w:before="0" w:after="0"/>
      <w:ind w:firstLine="72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start="720"/>
      <w:contextualSpacing/>
    </w:pPr>
    <w:rPr>
      <w:rFonts w:ascii="Calibri" w:hAnsi="Calibri"/>
      <w:sz w:val="22"/>
      <w:szCs w:val="22"/>
    </w:rPr>
  </w:style>
  <w:style w:type="paragraph" w:styleId="Title">
    <w:name w:val="Title"/>
    <w:basedOn w:val="Normal"/>
    <w:qFormat/>
    <w:pPr>
      <w:jc w:val="center"/>
    </w:pPr>
    <w:rPr>
      <w:b/>
      <w:sz w:val="24"/>
      <w:szCs w:val="24"/>
    </w:rPr>
  </w:style>
  <w:style w:type="paragraph" w:styleId="BodyTextIndent2">
    <w:name w:val="Body Text Indent 2"/>
    <w:basedOn w:val="Normal"/>
    <w:qFormat/>
    <w:pPr>
      <w:ind w:start="708"/>
      <w:jc w:val="both"/>
    </w:pPr>
    <w:rPr>
      <w:sz w:val="28"/>
      <w:szCs w:val="24"/>
    </w:rPr>
  </w:style>
  <w:style w:type="paragraph" w:styleId="BodyTextIndent3">
    <w:name w:val="Body Text Indent 3"/>
    <w:basedOn w:val="Normal"/>
    <w:qFormat/>
    <w:pPr>
      <w:ind w:firstLine="709" w:start="708"/>
      <w:jc w:val="both"/>
    </w:pPr>
    <w:rPr>
      <w:sz w:val="28"/>
      <w:szCs w:val="24"/>
    </w:rPr>
  </w:style>
  <w:style w:type="paragraph" w:styleId="BodyText2">
    <w:name w:val="Body Text 2"/>
    <w:basedOn w:val="Normal"/>
    <w:qFormat/>
    <w:pPr>
      <w:jc w:val="center"/>
    </w:pPr>
    <w:rPr>
      <w:bCs/>
      <w:sz w:val="28"/>
      <w:szCs w:val="24"/>
    </w:rPr>
  </w:style>
  <w:style w:type="paragraph" w:styleId="BodyText3">
    <w:name w:val="Body Text 3"/>
    <w:basedOn w:val="Normal"/>
    <w:qFormat/>
    <w:pPr/>
    <w:rPr>
      <w:sz w:val="24"/>
    </w:rPr>
  </w:style>
  <w:style w:type="paragraph" w:styleId="Style25">
    <w:name w:val="Колонтитулы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9"/>
        <w:tab w:val="center" w:pos="4677" w:leader="none"/>
        <w:tab w:val="right" w:pos="9355" w:leader="none"/>
      </w:tabs>
    </w:pPr>
    <w:rPr>
      <w:sz w:val="28"/>
      <w:szCs w:val="24"/>
    </w:rPr>
  </w:style>
  <w:style w:type="paragraph" w:styleId="Footer">
    <w:name w:val="footer"/>
    <w:basedOn w:val="Normal"/>
    <w:uiPriority w:val="99"/>
    <w:pPr>
      <w:tabs>
        <w:tab w:val="clear" w:pos="709"/>
        <w:tab w:val="center" w:pos="4677" w:leader="none"/>
        <w:tab w:val="right" w:pos="9355" w:leader="none"/>
      </w:tabs>
    </w:pPr>
    <w:rPr>
      <w:sz w:val="28"/>
      <w:szCs w:val="24"/>
    </w:rPr>
  </w:style>
  <w:style w:type="paragraph" w:styleId="11" w:customStyle="1">
    <w:name w:val="Знак1 Знак Знак Знак Знак Знак Знак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12" w:customStyle="1">
    <w:name w:val="Знак1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qFormat/>
    <w:pPr>
      <w:spacing w:before="75" w:after="75"/>
      <w:ind w:firstLine="75"/>
    </w:pPr>
    <w:rPr>
      <w:rFonts w:ascii="Arial" w:hAnsi="Arial" w:cs="Arial"/>
      <w:sz w:val="24"/>
      <w:szCs w:val="24"/>
    </w:rPr>
  </w:style>
  <w:style w:type="paragraph" w:styleId="211" w:customStyle="1">
    <w:name w:val="Основной текст 21"/>
    <w:basedOn w:val="Normal"/>
    <w:qFormat/>
    <w:pPr>
      <w:ind w:firstLine="360"/>
      <w:jc w:val="both"/>
    </w:pPr>
    <w:rPr>
      <w:sz w:val="24"/>
    </w:rPr>
  </w:style>
  <w:style w:type="paragraph" w:styleId="Style26" w:customStyle="1">
    <w:name w:val="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Style27" w:customStyle="1">
    <w:name w:val="Знак Знак Знак Знак"/>
    <w:basedOn w:val="Normal"/>
    <w:qFormat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ConsPlusTitle" w:customStyle="1">
    <w:name w:val="ConsPlusTitle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CharCharChar" w:customStyle="1">
    <w:name w:val="Char Char Char"/>
    <w:basedOn w:val="Normal"/>
    <w:qFormat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Default" w:customStyle="1">
    <w:name w:val="Default"/>
    <w:qFormat/>
    <w:pPr>
      <w:widowControl/>
      <w:bidi w:val="0"/>
      <w:spacing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start"/>
    </w:pPr>
    <w:rPr>
      <w:rFonts w:cs="Calibri" w:ascii="Calibri" w:hAnsi="Calibri" w:eastAsia="Calibri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Абзац списка1"/>
    <w:basedOn w:val="Normal"/>
    <w:qFormat/>
    <w:pPr>
      <w:ind w:start="720"/>
    </w:pPr>
    <w:rPr>
      <w:rFonts w:eastAsia="Calibri"/>
      <w:sz w:val="24"/>
      <w:szCs w:val="24"/>
    </w:rPr>
  </w:style>
  <w:style w:type="paragraph" w:styleId="CommentText">
    <w:name w:val="annotation text"/>
    <w:basedOn w:val="Normal"/>
    <w:uiPriority w:val="99"/>
    <w:semiHidden/>
    <w:unhideWhenUsed/>
    <w:pPr/>
    <w:rPr/>
  </w:style>
  <w:style w:type="paragraph" w:styleId="annotationsubject">
    <w:name w:val="annotation subject"/>
    <w:basedOn w:val="CommentText"/>
    <w:uiPriority w:val="99"/>
    <w:semiHidden/>
    <w:unhideWhenUsed/>
    <w:qFormat/>
    <w:pPr/>
    <w:rPr>
      <w:b/>
      <w:bCs/>
    </w:rPr>
  </w:style>
  <w:style w:type="paragraph" w:styleId="msonormalmailrucssattributepostfixmailrucssattributepostfix" w:customStyle="1">
    <w:name w:val="msonormal_mailru_css_attribute_postfix_mailru_css_attribute_postfix"/>
    <w:basedOn w:val="Normal"/>
    <w:qFormat/>
    <w:pPr>
      <w:spacing w:beforeAutospacing="1" w:afterAutospacing="1"/>
    </w:pPr>
    <w:rPr>
      <w:sz w:val="24"/>
      <w:szCs w:val="24"/>
    </w:rPr>
  </w:style>
  <w:style w:type="paragraph" w:styleId="24" w:customStyle="1">
    <w:name w:val="Основной текст (2)"/>
    <w:basedOn w:val="Normal"/>
    <w:qFormat/>
    <w:pPr>
      <w:widowControl w:val="false"/>
      <w:shd w:val="clear" w:color="auto" w:fill="FFFFFF"/>
      <w:spacing w:lineRule="exact" w:line="310"/>
      <w:ind w:hanging="1240"/>
      <w:jc w:val="center"/>
    </w:pPr>
    <w:rPr>
      <w:rFonts w:ascii="Calibri" w:hAnsi="Calibri"/>
      <w:sz w:val="26"/>
      <w:szCs w:val="26"/>
    </w:rPr>
  </w:style>
  <w:style w:type="paragraph" w:styleId="14" w:customStyle="1">
    <w:name w:val="Основной текст1"/>
    <w:basedOn w:val="Normal"/>
    <w:qFormat/>
    <w:pPr>
      <w:widowControl w:val="false"/>
      <w:shd w:val="clear" w:color="auto" w:fill="FFFFFF"/>
      <w:spacing w:lineRule="exact" w:line="322" w:before="420" w:after="0"/>
      <w:jc w:val="end"/>
    </w:pPr>
    <w:rPr>
      <w:rFonts w:ascii="Calibri" w:hAnsi="Calibri"/>
      <w:sz w:val="26"/>
      <w:szCs w:val="26"/>
    </w:rPr>
  </w:style>
  <w:style w:type="paragraph" w:styleId="34" w:customStyle="1">
    <w:name w:val="Основной текст (3)"/>
    <w:basedOn w:val="Normal"/>
    <w:qFormat/>
    <w:pPr>
      <w:widowControl w:val="false"/>
      <w:shd w:val="clear" w:color="auto" w:fill="FFFFFF"/>
      <w:spacing w:lineRule="atLeast" w:line="0" w:before="420" w:after="0"/>
      <w:jc w:val="both"/>
    </w:pPr>
    <w:rPr>
      <w:rFonts w:ascii="Calibri" w:hAnsi="Calibri"/>
      <w:sz w:val="23"/>
      <w:szCs w:val="23"/>
    </w:rPr>
  </w:style>
  <w:style w:type="paragraph" w:styleId="TableParagraph" w:customStyle="1">
    <w:name w:val="Table Paragraph"/>
    <w:basedOn w:val="Normal"/>
    <w:uiPriority w:val="1"/>
    <w:qFormat/>
    <w:pPr>
      <w:widowControl w:val="false"/>
    </w:pPr>
    <w:rPr>
      <w:sz w:val="22"/>
      <w:szCs w:val="22"/>
      <w:lang w:eastAsia="en-US"/>
    </w:rPr>
  </w:style>
  <w:style w:type="paragraph" w:styleId="FootnoteText">
    <w:name w:val="footnote text"/>
    <w:basedOn w:val="Normal"/>
    <w:uiPriority w:val="99"/>
    <w:semiHidden/>
    <w:unhideWhenUsed/>
    <w:pPr/>
    <w:rPr/>
  </w:style>
  <w:style w:type="paragraph" w:styleId="Style28">
    <w:name w:val="Содержимое врезки"/>
    <w:basedOn w:val="Normal"/>
    <w:qFormat/>
    <w:pPr/>
    <w:rPr/>
  </w:style>
  <w:style w:type="numbering" w:styleId="Style29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B645D-D71F-4234-BDA7-377D6D1DD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LibreOffice/26.2.1.2$Windows_X86_64 LibreOffice_project/620$Build-2</Application>
  <AppVersion>15.0000</AppVersion>
  <Pages>5</Pages>
  <Words>1082</Words>
  <Characters>8758</Characters>
  <CharactersWithSpaces>9866</CharactersWithSpaces>
  <Paragraphs>38</Paragraphs>
  <Company>ДОиН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2022-06-07T07:13:00Z</dcterms:created>
  <dc:creator>shsb</dc:creator>
  <dc:description/>
  <dc:language>ru-RU</dc:language>
  <cp:lastModifiedBy/>
  <dcterms:modified xsi:type="dcterms:W3CDTF">2026-03-31T12:17:36Z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